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D7" w:rsidRPr="00C01CD7" w:rsidRDefault="00C01CD7" w:rsidP="00C01CD7">
      <w:pPr>
        <w:widowControl/>
        <w:spacing w:after="300"/>
        <w:jc w:val="center"/>
        <w:textAlignment w:val="baseline"/>
        <w:outlineLvl w:val="2"/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</w:pPr>
      <w:r w:rsidRPr="00C01CD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关于征集全国高等中医药</w:t>
      </w:r>
      <w:proofErr w:type="gramStart"/>
      <w:r w:rsidRPr="00C01CD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院校党建</w:t>
      </w:r>
      <w:proofErr w:type="gramEnd"/>
      <w:r w:rsidRPr="00C01CD7"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32"/>
          <w:szCs w:val="32"/>
        </w:rPr>
        <w:t>和思想政治工作研究会第三十次年会论文的通知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各党工委、分党委、党总支、直属党支部，各附属医院党委：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全国高等中医药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院校党建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和思想政治工作研究会第三十次年会将于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2021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7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中旬在陕西中医药大学召开。为做好本届年会论文征集工作，现将有关事项通知如下：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一、论文参考选题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中国共产党防范化解重大风险的经验研究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中国共产党建党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100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周年革命文化发展史、革命精神历史发展研究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中国共产党建党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100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周年治国理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政成功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经验探析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中医药院校意识形态工作领导权、管理权、话语权研究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5.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中医药院校意识形态领域风险防范化解机制研究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6.“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互联网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+”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背景下中医药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院校党建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品牌的研究与实践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7.“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十四五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时期基层党组织党建与思想政治工作的创新路径研究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8.“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十四五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时期加强公立医院党建工作的实践与探索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9.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深化新时代党建和思想政治教育评价改革的实现路径与机制研究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10.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构建中医药院校思想政治工作体系的实践研究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11.“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四史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教育融入中医药院校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思政课实践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教学的路径探析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12.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新冠肺炎疫情背景下中医药院校思想政治教育方法路径探索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13.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疫情防控常态化与中医药文化自信教育研究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14.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伟大抗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疫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精神融入大学生思想政治教育的对策与机制研究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15.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高等中医药院校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思政课程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与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课程思政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协同育人模式构建研究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16.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新时代中医药院校思想政治理论课教师队伍能力提升研究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17.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中华优秀传统文化融入高校</w:t>
      </w:r>
      <w:proofErr w:type="gramStart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思政课</w:t>
      </w:r>
      <w:proofErr w:type="gramEnd"/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的关键点与实施路径探索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18.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新时代大学生奋斗精神培育研究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19.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延安精神对新时期党建工作的启示研究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20.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新时代中医药院校劳动教育教学体系构建与运行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二、征文要求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．请各党工委、分党委、党总支、直属党支部，各附属医院党委广泛发动，积极投稿。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．论文应做到主题明确，严格按照大会主题和参考选题征集论文。主题范围外的论文，不纳入评选。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．论文要注意思想性、指导性、应用性和可操作性，应是工作总结的提炼，尽可能按照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立意、做法、效果、经验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的框架行文。论文未在公开刊物上发表。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．请在论文第一页的脚注中详细注明姓名、工作单位、邮政编码、电子邮件地址和联系电话，文稿请自留底稿。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5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．论文格式要求：论文格式规范，包含摘要、关键词、注释与参考文献等。正文不超过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6000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字，摘要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300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字以内。论文标题居中对齐，正标题为宋体小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号加粗，英文标题为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lastRenderedPageBreak/>
        <w:t>Times New Roman</w:t>
      </w:r>
      <w:r w:rsidRPr="00C01CD7">
        <w:rPr>
          <w:rFonts w:ascii="Times New Roman" w:eastAsia="仿宋_GB2312" w:hAnsi="Times New Roman" w:cs="Times New Roman" w:hint="eastAsia"/>
          <w:color w:val="000000"/>
          <w:kern w:val="0"/>
          <w:sz w:val="32"/>
        </w:rPr>
        <w:t> 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小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号加粗；论文副标题前加破折号，副标题、署名及单位为楷体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号。摘要、关键词为宋体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号、加粗，内容为宋体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号、不加粗。正文一级标题序号为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一、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号黑体；二级标题序号为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（一）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号楷体加粗；三级标题序号为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“1.”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，四级标题序号为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“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（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）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”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号仿宋加粗。正文、参考文献字体为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号仿宋，每段首起空两格，固定值为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28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磅行距。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三、截稿日期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2021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4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15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日。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四、投稿方式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稿件一律通过电子邮件投递，投递方法如下：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联系人：党委宣传部</w:t>
      </w:r>
      <w:r w:rsidRPr="00C01CD7">
        <w:rPr>
          <w:rFonts w:ascii="Times New Roman" w:eastAsia="仿宋_GB2312" w:hAnsi="Times New Roman" w:cs="Times New Roman" w:hint="eastAsia"/>
          <w:color w:val="000000"/>
          <w:kern w:val="0"/>
          <w:sz w:val="32"/>
        </w:rPr>
        <w:t> 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田乐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电子邮箱：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152886566@qq.com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ind w:firstLine="640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联系电话：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025-85811042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lef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righ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南京中医药大学党委宣传部</w:t>
      </w:r>
    </w:p>
    <w:p w:rsidR="00C01CD7" w:rsidRPr="00C01CD7" w:rsidRDefault="00C01CD7" w:rsidP="00C01CD7">
      <w:pPr>
        <w:widowControl/>
        <w:adjustRightInd w:val="0"/>
        <w:snapToGrid w:val="0"/>
        <w:spacing w:line="300" w:lineRule="auto"/>
        <w:jc w:val="right"/>
        <w:textAlignment w:val="baseline"/>
        <w:rPr>
          <w:rFonts w:ascii="仿宋_GB2312" w:eastAsia="仿宋_GB2312" w:hAnsi="宋体" w:cs="宋体" w:hint="eastAsia"/>
          <w:color w:val="000000"/>
          <w:kern w:val="0"/>
          <w:sz w:val="18"/>
          <w:szCs w:val="18"/>
        </w:rPr>
      </w:pPr>
      <w:r w:rsidRPr="00C01CD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               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 xml:space="preserve"> 2021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月</w:t>
      </w:r>
      <w:r w:rsidRPr="00C01CD7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2</w:t>
      </w:r>
      <w:r w:rsidRPr="00C01CD7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日</w:t>
      </w:r>
    </w:p>
    <w:p w:rsidR="0073423B" w:rsidRDefault="0073423B"/>
    <w:sectPr w:rsidR="0073423B" w:rsidSect="0073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1CD7"/>
    <w:rsid w:val="000712E4"/>
    <w:rsid w:val="001C0354"/>
    <w:rsid w:val="0073423B"/>
    <w:rsid w:val="00C01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3B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01CD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01CD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C01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8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4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6" w:space="8" w:color="D1D1D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1110</Characters>
  <Application>Microsoft Office Word</Application>
  <DocSecurity>0</DocSecurity>
  <Lines>9</Lines>
  <Paragraphs>2</Paragraphs>
  <ScaleCrop>false</ScaleCrop>
  <Company>联想中国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联想用户</dc:creator>
  <cp:keywords/>
  <dc:description/>
  <cp:lastModifiedBy>联想用户</cp:lastModifiedBy>
  <cp:revision>1</cp:revision>
  <dcterms:created xsi:type="dcterms:W3CDTF">2021-03-08T06:18:00Z</dcterms:created>
  <dcterms:modified xsi:type="dcterms:W3CDTF">2021-03-08T06:20:00Z</dcterms:modified>
</cp:coreProperties>
</file>