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56" w:rsidRPr="00F41D56" w:rsidRDefault="00F41D56" w:rsidP="00F41D56">
      <w:pPr>
        <w:widowControl/>
        <w:spacing w:after="300"/>
        <w:jc w:val="center"/>
        <w:textAlignment w:val="baseline"/>
        <w:outlineLvl w:val="2"/>
        <w:rPr>
          <w:rFonts w:ascii="脣脦脤氓" w:eastAsia="脣脦脤氓" w:hAnsi="宋体" w:cs="宋体"/>
          <w:b/>
          <w:bCs/>
          <w:color w:val="000000"/>
          <w:kern w:val="0"/>
          <w:sz w:val="32"/>
          <w:szCs w:val="32"/>
        </w:rPr>
      </w:pPr>
      <w:r w:rsidRPr="00F41D56">
        <w:rPr>
          <w:rFonts w:ascii="脣脦脤氓" w:eastAsia="脣脦脤氓" w:hAnsi="宋体" w:cs="宋体" w:hint="eastAsia"/>
          <w:b/>
          <w:bCs/>
          <w:color w:val="000000"/>
          <w:kern w:val="0"/>
          <w:sz w:val="32"/>
          <w:szCs w:val="32"/>
        </w:rPr>
        <w:t>关于科研管理系统试运行的通知</w:t>
      </w:r>
    </w:p>
    <w:p w:rsidR="00F41D56" w:rsidRPr="00F41D56" w:rsidRDefault="00F41D56" w:rsidP="00F41D56">
      <w:pPr>
        <w:widowControl/>
        <w:jc w:val="center"/>
        <w:textAlignment w:val="baseline"/>
        <w:rPr>
          <w:rFonts w:ascii="脣脦脤氓" w:eastAsia="脣脦脤氓" w:hAnsi="宋体" w:cs="宋体" w:hint="eastAsia"/>
          <w:color w:val="909090"/>
          <w:kern w:val="0"/>
          <w:sz w:val="18"/>
          <w:szCs w:val="18"/>
        </w:rPr>
      </w:pPr>
      <w:r w:rsidRPr="00F41D56">
        <w:rPr>
          <w:rFonts w:ascii="脣脦脤氓" w:eastAsia="脣脦脤氓" w:hAnsi="宋体" w:cs="宋体" w:hint="eastAsia"/>
          <w:color w:val="909090"/>
          <w:kern w:val="0"/>
          <w:sz w:val="18"/>
          <w:szCs w:val="18"/>
        </w:rPr>
        <w:t>作者：809002 发布时间： 2020-09-04 来源：本站编辑 阅读次数：753</w:t>
      </w:r>
    </w:p>
    <w:p w:rsidR="00F41D56" w:rsidRPr="00F41D56" w:rsidRDefault="00F41D56" w:rsidP="00F41D5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41D56"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  <w:br/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jc w:val="left"/>
        <w:textAlignment w:val="baseline"/>
        <w:rPr>
          <w:rFonts w:ascii="脣脦脤氓" w:eastAsia="脣脦脤氓" w:hAnsi="宋体" w:cs="宋体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各有关单位、各位老师：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为提高科研服务质量和管理信息化水平，“让信息多跑路，让科研人员少跑腿”，最大程度为科研人员提供方便快捷的服务，科学技术处联合</w:t>
      </w:r>
      <w:hyperlink r:id="rId4" w:tgtFrame="https://www.njucm.edu.cn/2014/0722/c285a4264/_blank" w:history="1">
        <w:r w:rsidRPr="00F41D56">
          <w:rPr>
            <w:rFonts w:ascii="宋体" w:eastAsia="宋体" w:hAnsi="宋体" w:cs="宋体" w:hint="eastAsia"/>
            <w:color w:val="000000"/>
            <w:kern w:val="0"/>
            <w:sz w:val="28"/>
            <w:szCs w:val="28"/>
            <w:u w:val="single"/>
            <w:bdr w:val="none" w:sz="0" w:space="0" w:color="auto" w:frame="1"/>
          </w:rPr>
          <w:t>网络管理与信息化办公室</w:t>
        </w:r>
      </w:hyperlink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开发了科研管理系统，现就有关事宜通知如下：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一、</w:t>
      </w:r>
      <w:r w:rsidRPr="00F41D5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主要功能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科研管理系统共分为五大功能、七个模块，分别为自然科学纵向科研项目管理、社会科学纵向科研项目管理、技术合同审批、横向科研项目管理、科技成果报奖管理、知识产权管理和各类学术任职管理。主要功能介绍如下：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1.项目管理：包括各类自然科学纵向科研项目、社会科学纵向科研项目审核与用印、横向科研项目报告和结题审核与用印。项目负责人在网上填报项目基本信息、上传完整用印材料，经审批后，携带材料至校办或科技处用印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2.技术合同审批：技术合同电子稿定稿后，项目负责人网上填报项目基本信息、上传甲方盖章合同，经审批后，将合同原件交到科技处，由科技处办理签字、用印。</w:t>
      </w:r>
    </w:p>
    <w:p w:rsidR="00F41D56" w:rsidRPr="00F41D56" w:rsidRDefault="00F41D56" w:rsidP="00F41D56">
      <w:pPr>
        <w:widowControl/>
        <w:shd w:val="clear" w:color="auto" w:fill="FFFFFF"/>
        <w:ind w:firstLine="560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3.科技成果报奖管理：包括主持和参与的科技成果报奖材料用印申请。科技成果报奖材料定稿后，项目负责人在网上填报项目基本信息、上传完整用印材料，经审批后，携带材料至校办用印。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4.知识产权管理：包括专利和软件著作权审核与用印申请、官费报销审核。专利和软件著作权审核与用印申请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需项目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负责人在网上填报项目基本信息、上传完整用印材料，经审批后，携带材料至校办用印；官费报销审核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需项目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负责人在网上填报项目基本信息、上传受理通知书或授权证书等原件扫描件，经审批后，将发票及相关附件复印件交至科技处。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5.各类学术任职管理：主要对个人申请各类学术任职管理。项目负责人在网上填报项目基本信息、上传完整用印材料，经审批后，携带材料至校办用印。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left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二、登录方式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1.通过校园门户访问系统：学校主页→校园门户→服务→科学技术处；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2.通过科技处网站访问系统：科技处网站→办事指南→科研管理系统网址；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3.通过手机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APP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访问系统：①登录</w:t>
      </w:r>
      <w:proofErr w:type="spell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i</w:t>
      </w:r>
      <w:proofErr w:type="spell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南中医→服务→办公服务；②登录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企业微信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→工作台→综合服务门户→服务→办公服务；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4.通过微信访问系统：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打开微信通讯录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→我的企业（南京中医药大学）→综合服务门户→服务→办公服务；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>注：①请使用学校统一身份认证系统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帐号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和密码登录。操作指南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参见网信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办：</w:t>
      </w:r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https://its.njucm.edu.cn/4629/list.htm</w:t>
      </w:r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。②技术合同审批申请由于填写内容过多，建议</w:t>
      </w:r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PC</w:t>
      </w:r>
      <w:r w:rsidRPr="00F41D56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端操作，手机暂无法申请，但可以审批。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left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三、工作安排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1.试运行时间：2020年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4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日至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2020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10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日为科研管理系统试运行阶段。期间，原有线下服务和网上服务同时运行，科技</w:t>
      </w:r>
      <w:proofErr w:type="gramStart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处鼓励</w:t>
      </w:r>
      <w:proofErr w:type="gramEnd"/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科研人员使用科研管理系统开展科研事项办理。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2.科研事项办理联系方式：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632"/>
        <w:gridCol w:w="1396"/>
        <w:gridCol w:w="2024"/>
        <w:gridCol w:w="1602"/>
      </w:tblGrid>
      <w:tr w:rsidR="00F41D56" w:rsidRPr="00F41D56" w:rsidTr="00F41D56">
        <w:tc>
          <w:tcPr>
            <w:tcW w:w="17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办理事项</w:t>
            </w:r>
          </w:p>
        </w:tc>
        <w:tc>
          <w:tcPr>
            <w:tcW w:w="1704" w:type="dxa"/>
            <w:tcBorders>
              <w:top w:val="single" w:sz="8" w:space="0" w:color="4F81BD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联系科室</w:t>
            </w:r>
          </w:p>
        </w:tc>
        <w:tc>
          <w:tcPr>
            <w:tcW w:w="1423" w:type="dxa"/>
            <w:tcBorders>
              <w:top w:val="single" w:sz="8" w:space="0" w:color="4F81BD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联系人</w:t>
            </w:r>
          </w:p>
        </w:tc>
        <w:tc>
          <w:tcPr>
            <w:tcW w:w="2040" w:type="dxa"/>
            <w:tcBorders>
              <w:top w:val="single" w:sz="8" w:space="0" w:color="4F81BD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联系电话</w:t>
            </w:r>
          </w:p>
        </w:tc>
        <w:tc>
          <w:tcPr>
            <w:tcW w:w="1651" w:type="dxa"/>
            <w:tcBorders>
              <w:top w:val="single" w:sz="8" w:space="0" w:color="4F81BD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办公地点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自然科学纵向科研项目管理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科技项目管理科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陈英杰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85811065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行政楼504（东）室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社会科学纵向科研项目管理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社会科学管理科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陈海丽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85811226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行政楼510（西）室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技术合同审批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科技成果管理科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刘若囡/杨军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85811072/85811220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行政楼504（西）室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横向科研项目管理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科技成果管理科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刘若囡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85811072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行政楼504（西）室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科技成果报奖管理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科技成果管理科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费  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85811220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行政楼504（西）室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知识产权管理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科技成果管理科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费  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85811220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行政楼504（西）室</w:t>
            </w:r>
          </w:p>
        </w:tc>
      </w:tr>
      <w:tr w:rsidR="00F41D56" w:rsidRPr="00F41D56" w:rsidTr="00F41D56">
        <w:tc>
          <w:tcPr>
            <w:tcW w:w="1704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各类学术任职管理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学术资源管理科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顾媛媛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85811632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D56" w:rsidRPr="00F41D56" w:rsidRDefault="00F41D56" w:rsidP="00F41D56">
            <w:pPr>
              <w:widowControl/>
              <w:jc w:val="center"/>
              <w:textAlignment w:val="baseline"/>
              <w:rPr>
                <w:rFonts w:ascii="脣脦脤氓" w:eastAsia="脣脦脤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1D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行政楼501室</w:t>
            </w:r>
          </w:p>
        </w:tc>
      </w:tr>
    </w:tbl>
    <w:p w:rsidR="00F41D56" w:rsidRPr="00F41D56" w:rsidRDefault="00F41D56" w:rsidP="00F41D56">
      <w:pPr>
        <w:widowControl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附件：科研管理系统操作简介</w:t>
      </w:r>
    </w:p>
    <w:p w:rsidR="00F41D56" w:rsidRPr="00F41D56" w:rsidRDefault="00F41D56" w:rsidP="00F41D56">
      <w:pPr>
        <w:widowControl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5600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科学技术处 </w:t>
      </w:r>
    </w:p>
    <w:p w:rsidR="00F41D56" w:rsidRPr="00F41D56" w:rsidRDefault="00F41D56" w:rsidP="00F41D56">
      <w:pPr>
        <w:widowControl/>
        <w:shd w:val="clear" w:color="auto" w:fill="FFFFFF"/>
        <w:spacing w:line="585" w:lineRule="atLeast"/>
        <w:ind w:firstLine="5320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2020年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4</w:t>
      </w:r>
      <w:r w:rsidRPr="00F41D5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</w:p>
    <w:p w:rsidR="00D9791A" w:rsidRDefault="00D9791A">
      <w:bookmarkStart w:id="0" w:name="_GoBack"/>
      <w:bookmarkEnd w:id="0"/>
    </w:p>
    <w:sectPr w:rsidR="00D9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56"/>
    <w:rsid w:val="00D9791A"/>
    <w:rsid w:val="00F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D2D2A-288A-4182-B1AC-F93CC05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41D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41D5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4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ts.njucm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个人用户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2020-09-18T07:49:00Z</dcterms:created>
  <dcterms:modified xsi:type="dcterms:W3CDTF">2020-09-18T07:49:00Z</dcterms:modified>
</cp:coreProperties>
</file>